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E5E" w:rsidRDefault="00352E5E" w:rsidP="00352E5E">
      <w:r>
        <w:t>一、结构化核心数据（受控安全域存储，支撑关键词精准检索）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此类数据需按 “数据最小化” 原则拆分字段，仅开放问题解答必需信息，适配实验中 “敏感数据受控 + 订单号精准匹配” 需求。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1. 用户与订单关联数据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数据类别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核心字段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实验价值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安全控制策略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基础用户档案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用户 ID、实名认证状态、常用联系方式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校验用户身份合法性，支撑个性化服务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脱敏存储，仅返回 “是否实名” 等状态字段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订单核心记录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订单号、产品 SKU、购买时间、支付状态、收货地址（省 / 市层级）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关键词检索核心（匹配订单号），判断保修资格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绑定用户授权凭证，仅允许查询本人订单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服务历史记录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历史工单 ID、服务类型、处理结果、服务网点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衔接会话上下文，避免重复提问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按工单状态分级授权（已完结 / 处理中）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2. 产品与库存结构化数据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产品核心属性表：含产品 SKU、型号、上市时间、保修期限、生产批次等字段，用于快速关联 “产品是否在保” 等问题（如检索 SKU 后匹配保修期限）。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库存与网点数据：服务网点 ID、覆盖区域、联系方式、备件库存状态等，支撑 “附近有哪些维修网点” 等位置相关问题检索。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二、非结构化知识文档（段落级切分向量化，支撑语义检索）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此类数据需经清洗、切片后构建向量索引，适配 “向量检索理解语义 + 混合检索补全信息” 需求，是解答 “如何操作、政策是什么” 的核心依据。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1. 产品操作与故障排查知识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产品手册拆解模块：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基础操作：按 “开机设置 - 核心功能使用 - 日常维护” 分段（如 “智能洗衣机预约功能设置步骤”），附操作示意图描述（需同步处理多模态信息）。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故障排查：按 “故障代码 - 现象描述 - 自查步骤 - 报修阈值” 结构化（如 “E1 报错：进水超时→检查水龙头→未解决则生成报修工单”），适配语义检索（用户问 “洗衣机不进水怎么办” 可匹配对应段落）。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维修技术指南：面向售后场景的 “拆机规范 - 备件更换流程 - 检测工具使用” 等专业内容，需标注 “内部知识” 权限标签，避免向普通用户泄露。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2. 售后政策与流程知识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通用政策文档：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保修政策：明确 “保修范围（非人为故障）- 例外情况（进水 / 摔落）- 延保规则”，附案例说明（如 “手机屏幕碎裂是否保修”）。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lastRenderedPageBreak/>
        <w:t>退换货政策：按 “7 天无理由（未拆封）-15 天质量问题 - 超过期限处理” 分段，标注地区差异（如 “偏远地区退货时效延长 3 天”）。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流程类知识模块：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报修流程：“线上申请（APP / 小程序）- 订单验证 - 故障描述 - 网点分配 - 上门时间确认” 全步骤拆解，含每个环节的操作截图说明。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退款与索赔流程：“退款申请条件 - 所需凭证（发票 / 订单截图）- 到账时效 - 特殊情况处理（如赠品退回）” 等段落，适配 “退款多久到账” 等语义查询。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3. FAQ 与场景化案例库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高频问题集合：按 “订单类（查物流 / 改地址）- 产品类（功能咨询 / 故障）- 服务类（报修 / 投诉）” 分类，采用 “Q+A 合并切片” 策略（如 Q“发票什么时候开？”+A “发货后 3 个工作日邮件发送” 合并为一个 chunk），避免检索时问答分离。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典型案例库：含 “复杂问题处理案例”（如 “跨地区保修如何协调”）和 “投诉应对范例”（如 “用户对维修结果不满的安抚话术 + 解决方案”），用于提升回答的实操性。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三、动态规则与合规支撑数据（实时更新，保障回答时效性与合规性）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此类数据需构建动态索引或配置接口调用，支撑 “低置信度策略 + 合规化输出” 需求，是实验中 “合规模块” 的核心知识来源。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1. 动态更新规则数据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政策变更通知：如 “保修政策调整生效时间”“新地区服务网点开通” 等，需标注更新时间戳，检索时优先匹配最新内容（避免使用过期政策）。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活动与服务时效：如 “618 期间售后响应延长至 48 小时”“春节期间暂停上门服务” 等临时规则，需设置时间范围属性，自动触发时效校验。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2. 合规与风险控制知识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隐私与授权话术模板：含 “首次查询订单需授权”“获取位置信息的用途说明” 等标准化提示语（如 “为查询附近网点，需获取您的大致位置，仅本次会话使用”）。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低置信度处理规则：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追问触发条件：明确 “缺少订单号→请提供订单号以便查询保修状态”“故障描述模糊→请说明具体现象（如是否报错）” 等场景化追问话术。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拒答场景清单：含 “查询他人订单”“索要未公开的备件价格” 等高风险问题，配置标准化拒答模板（如 “根据隐私政策，无法查询非本人订单，请使用订单对应账号咨询”）。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工单结构化输出模板：定义 “工单必填字段（订单号、故障类型、用户联系方式）- 字段提取规则（从对话中抓取订单号）- 格式校验标准”，支撑实验 “结构化工单输出” 目标。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四、知识体系适配实验的核心设计要点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分层索引适配：结构化数据（订单 / 产品属性）用 Elasticsearch 构建关键词索引（精准匹配订单号 / SKU），非结构化文档用向量库（如阿里云向量检索服务）构建语义索引，通过混合检索接口联动。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r>
        <w:t>授权与隐私适配：为知识字段添加 “授权级别” 元数据（如 “公开 - 需授权 - 内部”），检索时先校验用户权限，再返回对应层级内容（如普通用户无法获取维修技术指南）。</w:t>
      </w:r>
      <w:r>
        <w:rPr>
          <w:rFonts w:ascii="Times New Roman" w:hAnsi="Times New Roman" w:cs="Times New Roman"/>
        </w:rPr>
        <w:t>​</w:t>
      </w:r>
    </w:p>
    <w:p w:rsidR="00352E5E" w:rsidRDefault="00352E5E" w:rsidP="00352E5E">
      <w:pPr>
        <w:rPr>
          <w:rFonts w:hint="eastAsia"/>
        </w:rPr>
      </w:pPr>
      <w:r>
        <w:t>更新与维护机制：建立 “产品迭代触发手册更新”“政策变更触发向量重索引” 的自动化流程，适配实验 “知识时效性” 要求，避免检索过时信息。</w:t>
      </w:r>
      <w:r>
        <w:rPr>
          <w:rFonts w:ascii="Times New Roman" w:hAnsi="Times New Roman" w:cs="Times New Roman"/>
        </w:rPr>
        <w:t>​</w:t>
      </w:r>
    </w:p>
    <w:sectPr w:rsidR="00352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E"/>
    <w:rsid w:val="00211619"/>
    <w:rsid w:val="0027709F"/>
    <w:rsid w:val="00352E5E"/>
    <w:rsid w:val="00374982"/>
    <w:rsid w:val="003D18E8"/>
    <w:rsid w:val="003E0218"/>
    <w:rsid w:val="004D42A6"/>
    <w:rsid w:val="005E0417"/>
    <w:rsid w:val="00892396"/>
    <w:rsid w:val="00942B1E"/>
    <w:rsid w:val="009841FC"/>
    <w:rsid w:val="009C4BF7"/>
    <w:rsid w:val="00B161FC"/>
    <w:rsid w:val="00BD7874"/>
    <w:rsid w:val="00D53916"/>
    <w:rsid w:val="00D7408C"/>
    <w:rsid w:val="00F74C3D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F5108"/>
  <w15:chartTrackingRefBased/>
  <w15:docId w15:val="{97CBB998-8581-0C4B-B695-FDE7B6B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E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E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E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E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E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E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E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E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E5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E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E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E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E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E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E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2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Tianai Shen</dc:creator>
  <cp:keywords/>
  <dc:description/>
  <cp:lastModifiedBy>Tianai Shen</cp:lastModifiedBy>
  <cp:revision>1</cp:revision>
  <dcterms:created xsi:type="dcterms:W3CDTF">2025-11-01T08:43:00Z</dcterms:created>
  <dcterms:modified xsi:type="dcterms:W3CDTF">2025-11-01T09:33:00Z</dcterms:modified>
</cp:coreProperties>
</file>